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680BD0" w14:textId="6012A53C" w:rsidR="0078107A" w:rsidRPr="0078107A" w:rsidRDefault="0078107A" w:rsidP="0078107A">
      <w:pPr>
        <w:spacing w:after="120" w:line="240" w:lineRule="auto"/>
        <w:jc w:val="center"/>
        <w:rPr>
          <w:rFonts w:ascii="Times New Roman" w:eastAsia="Calibri" w:hAnsi="Times New Roman" w:cs="Times New Roman"/>
          <w:b/>
          <w:kern w:val="0"/>
          <w:sz w:val="36"/>
          <w:szCs w:val="36"/>
          <w14:ligatures w14:val="none"/>
        </w:rPr>
      </w:pPr>
      <w:r>
        <w:rPr>
          <w:rFonts w:ascii="Times New Roman" w:eastAsia="Calibri" w:hAnsi="Times New Roman" w:cs="Times New Roman"/>
          <w:b/>
          <w:kern w:val="0"/>
          <w:sz w:val="36"/>
          <w:szCs w:val="36"/>
          <w14:ligatures w14:val="none"/>
        </w:rPr>
        <w:t>Implementation and Evaluation</w:t>
      </w:r>
    </w:p>
    <w:p w14:paraId="5E21B060" w14:textId="77777777" w:rsidR="000F3DA2" w:rsidRDefault="000F3DA2" w:rsidP="007336A7">
      <w:pPr>
        <w:spacing w:line="480" w:lineRule="auto"/>
        <w:rPr>
          <w:rFonts w:ascii="Times" w:hAnsi="Times" w:cs="Times"/>
        </w:rPr>
      </w:pPr>
    </w:p>
    <w:p w14:paraId="0023A73B" w14:textId="58955A02" w:rsidR="007336A7" w:rsidRDefault="007336A7" w:rsidP="008C155C">
      <w:pPr>
        <w:spacing w:line="480" w:lineRule="auto"/>
        <w:ind w:firstLine="720"/>
        <w:rPr>
          <w:rFonts w:ascii="Times" w:hAnsi="Times" w:cs="Times"/>
        </w:rPr>
      </w:pPr>
      <w:r>
        <w:rPr>
          <w:rFonts w:ascii="Times" w:hAnsi="Times" w:cs="Times"/>
        </w:rPr>
        <w:t xml:space="preserve">When creating my instructional materials and assessments, I made very few adjustments to what I had planned in my </w:t>
      </w:r>
      <w:proofErr w:type="gramStart"/>
      <w:r>
        <w:rPr>
          <w:rFonts w:ascii="Times" w:hAnsi="Times" w:cs="Times"/>
        </w:rPr>
        <w:t>high level</w:t>
      </w:r>
      <w:proofErr w:type="gramEnd"/>
      <w:r>
        <w:rPr>
          <w:rFonts w:ascii="Times" w:hAnsi="Times" w:cs="Times"/>
        </w:rPr>
        <w:t xml:space="preserve"> design document. I copied my objectives and </w:t>
      </w:r>
      <w:proofErr w:type="gramStart"/>
      <w:r>
        <w:rPr>
          <w:rFonts w:ascii="Times" w:hAnsi="Times" w:cs="Times"/>
        </w:rPr>
        <w:t>outline</w:t>
      </w:r>
      <w:proofErr w:type="gramEnd"/>
      <w:r>
        <w:rPr>
          <w:rFonts w:ascii="Times" w:hAnsi="Times" w:cs="Times"/>
        </w:rPr>
        <w:t xml:space="preserve"> from that document and built my storyboard around it.</w:t>
      </w:r>
      <w:r w:rsidR="008C155C">
        <w:rPr>
          <w:rFonts w:ascii="Times" w:hAnsi="Times" w:cs="Times"/>
        </w:rPr>
        <w:t xml:space="preserve"> I put a lot of thought and planning into the design </w:t>
      </w:r>
      <w:proofErr w:type="gramStart"/>
      <w:r w:rsidR="008C155C">
        <w:rPr>
          <w:rFonts w:ascii="Times" w:hAnsi="Times" w:cs="Times"/>
        </w:rPr>
        <w:t>in order to</w:t>
      </w:r>
      <w:proofErr w:type="gramEnd"/>
      <w:r w:rsidR="008C155C">
        <w:rPr>
          <w:rFonts w:ascii="Times" w:hAnsi="Times" w:cs="Times"/>
        </w:rPr>
        <w:t xml:space="preserve"> give myself enough time for development. I’m glad to see that the extra effort paid off.</w:t>
      </w:r>
    </w:p>
    <w:p w14:paraId="367FA7AB" w14:textId="746676C9" w:rsidR="007336A7" w:rsidRDefault="008C155C" w:rsidP="008C155C">
      <w:pPr>
        <w:spacing w:line="480" w:lineRule="auto"/>
        <w:ind w:firstLine="720"/>
        <w:rPr>
          <w:rFonts w:ascii="Times" w:hAnsi="Times" w:cs="Times"/>
        </w:rPr>
      </w:pPr>
      <w:r>
        <w:rPr>
          <w:rFonts w:ascii="Times" w:hAnsi="Times" w:cs="Times"/>
        </w:rPr>
        <w:t xml:space="preserve">I decided to create 4 </w:t>
      </w:r>
      <w:proofErr w:type="gramStart"/>
      <w:r>
        <w:rPr>
          <w:rFonts w:ascii="Times" w:hAnsi="Times" w:cs="Times"/>
        </w:rPr>
        <w:t>microlearning</w:t>
      </w:r>
      <w:proofErr w:type="gramEnd"/>
      <w:r>
        <w:rPr>
          <w:rFonts w:ascii="Times" w:hAnsi="Times" w:cs="Times"/>
        </w:rPr>
        <w:t xml:space="preserve"> modules that can be completed at any point in the week that implementation is due. Each module corresponds to each objective that I wrote. </w:t>
      </w:r>
      <w:r w:rsidR="007336A7">
        <w:rPr>
          <w:rFonts w:ascii="Times" w:hAnsi="Times" w:cs="Times"/>
        </w:rPr>
        <w:t>The instructional material is designed to bring the target audience to</w:t>
      </w:r>
      <w:r w:rsidR="0078107A">
        <w:rPr>
          <w:rFonts w:ascii="Times" w:hAnsi="Times" w:cs="Times"/>
        </w:rPr>
        <w:t xml:space="preserve"> the</w:t>
      </w:r>
      <w:r w:rsidR="007336A7">
        <w:rPr>
          <w:rFonts w:ascii="Times" w:hAnsi="Times" w:cs="Times"/>
        </w:rPr>
        <w:t xml:space="preserve"> point of being able to easily complete the assessment that is described in the objectives. There are formative assessments along the way as well to reinforce the information that is being delivered.</w:t>
      </w:r>
      <w:r>
        <w:rPr>
          <w:rFonts w:ascii="Times" w:hAnsi="Times" w:cs="Times"/>
        </w:rPr>
        <w:t xml:space="preserve"> I have also created a summative assessment to gather feedback from my target audience about their experience with the unit.</w:t>
      </w:r>
    </w:p>
    <w:p w14:paraId="7C8F7539" w14:textId="0DB9F5F1" w:rsidR="008C155C" w:rsidRDefault="008C155C" w:rsidP="008C155C">
      <w:pPr>
        <w:spacing w:line="480" w:lineRule="auto"/>
        <w:ind w:firstLine="720"/>
        <w:rPr>
          <w:rFonts w:ascii="Times" w:hAnsi="Times" w:cs="Times"/>
        </w:rPr>
      </w:pPr>
      <w:r>
        <w:rPr>
          <w:rFonts w:ascii="Times" w:hAnsi="Times" w:cs="Times"/>
        </w:rPr>
        <w:t xml:space="preserve">Initially, my intention was to create an in-person </w:t>
      </w:r>
      <w:proofErr w:type="gramStart"/>
      <w:r>
        <w:rPr>
          <w:rFonts w:ascii="Times" w:hAnsi="Times" w:cs="Times"/>
        </w:rPr>
        <w:t>training</w:t>
      </w:r>
      <w:proofErr w:type="gramEnd"/>
      <w:r>
        <w:rPr>
          <w:rFonts w:ascii="Times" w:hAnsi="Times" w:cs="Times"/>
        </w:rPr>
        <w:t xml:space="preserve"> of about one hour to deliver this material. My needs analysis survey indicated that the preference of my target audience was in-person training. Unfortunately, due to the time constraints, and the time of year, the mothers of adolescent daughters were not available to give that time just as school was letting out for the summer. So, I pivoted my deliver</w:t>
      </w:r>
      <w:r w:rsidR="0078107A">
        <w:rPr>
          <w:rFonts w:ascii="Times" w:hAnsi="Times" w:cs="Times"/>
        </w:rPr>
        <w:t>y</w:t>
      </w:r>
      <w:r>
        <w:rPr>
          <w:rFonts w:ascii="Times" w:hAnsi="Times" w:cs="Times"/>
        </w:rPr>
        <w:t xml:space="preserve"> method to microlearning that they could access from a mobile phone. I broke it up into</w:t>
      </w:r>
      <w:r w:rsidR="0078107A">
        <w:rPr>
          <w:rFonts w:ascii="Times" w:hAnsi="Times" w:cs="Times"/>
        </w:rPr>
        <w:t xml:space="preserve"> four</w:t>
      </w:r>
      <w:r>
        <w:rPr>
          <w:rFonts w:ascii="Times" w:hAnsi="Times" w:cs="Times"/>
        </w:rPr>
        <w:t xml:space="preserve"> </w:t>
      </w:r>
      <w:r w:rsidR="0078107A">
        <w:rPr>
          <w:rFonts w:ascii="Times" w:hAnsi="Times" w:cs="Times"/>
        </w:rPr>
        <w:t>15-minute</w:t>
      </w:r>
      <w:r>
        <w:rPr>
          <w:rFonts w:ascii="Times" w:hAnsi="Times" w:cs="Times"/>
        </w:rPr>
        <w:t xml:space="preserve"> modules so they could consume the content in available time chunks throughout the week. Also, because of the constraints of the assignment, I </w:t>
      </w:r>
      <w:r w:rsidR="0078107A">
        <w:rPr>
          <w:rFonts w:ascii="Times" w:hAnsi="Times" w:cs="Times"/>
        </w:rPr>
        <w:t>used</w:t>
      </w:r>
      <w:r>
        <w:rPr>
          <w:rFonts w:ascii="Times" w:hAnsi="Times" w:cs="Times"/>
        </w:rPr>
        <w:t xml:space="preserve"> a group text thread to provide a place for them to turn in their reflections and provide support to one another in the process.</w:t>
      </w:r>
    </w:p>
    <w:p w14:paraId="5321A23A" w14:textId="321CE2E3" w:rsidR="0078107A" w:rsidRDefault="0078107A" w:rsidP="0078107A">
      <w:pPr>
        <w:spacing w:line="480" w:lineRule="auto"/>
        <w:ind w:firstLine="720"/>
        <w:rPr>
          <w:rFonts w:ascii="Times" w:hAnsi="Times" w:cs="Times"/>
        </w:rPr>
      </w:pPr>
      <w:r>
        <w:rPr>
          <w:rFonts w:ascii="Times" w:hAnsi="Times" w:cs="Times"/>
        </w:rPr>
        <w:lastRenderedPageBreak/>
        <w:t xml:space="preserve">I delivered this learning solution to </w:t>
      </w:r>
      <w:r w:rsidRPr="00424D63">
        <w:rPr>
          <w:rFonts w:ascii="Times" w:hAnsi="Times" w:cs="Times"/>
        </w:rPr>
        <w:t>the target audience that I used for analysis</w:t>
      </w:r>
      <w:r>
        <w:rPr>
          <w:rFonts w:ascii="Times" w:hAnsi="Times" w:cs="Times"/>
        </w:rPr>
        <w:t>:</w:t>
      </w:r>
      <w:r w:rsidRPr="00424D63">
        <w:rPr>
          <w:rFonts w:ascii="Times" w:hAnsi="Times" w:cs="Times"/>
        </w:rPr>
        <w:t xml:space="preserve"> </w:t>
      </w:r>
      <w:r>
        <w:rPr>
          <w:rFonts w:ascii="Times" w:hAnsi="Times" w:cs="Times"/>
        </w:rPr>
        <w:t>five</w:t>
      </w:r>
      <w:r w:rsidRPr="00424D63">
        <w:rPr>
          <w:rFonts w:ascii="Times" w:hAnsi="Times" w:cs="Times"/>
        </w:rPr>
        <w:t xml:space="preserve"> mothers aged 40-51 of adolescent daughters aged 12-14</w:t>
      </w:r>
      <w:r>
        <w:rPr>
          <w:rFonts w:ascii="Times" w:hAnsi="Times" w:cs="Times"/>
        </w:rPr>
        <w:t>. Four of them started the learning and three of them completed it. I sent them the link to the learning solution in a text thread on Friday, June 5</w:t>
      </w:r>
      <w:r w:rsidRPr="00BB4BC9">
        <w:rPr>
          <w:rFonts w:ascii="Times" w:hAnsi="Times" w:cs="Times"/>
          <w:vertAlign w:val="superscript"/>
        </w:rPr>
        <w:t>th</w:t>
      </w:r>
      <w:r>
        <w:rPr>
          <w:rFonts w:ascii="Times" w:hAnsi="Times" w:cs="Times"/>
        </w:rPr>
        <w:t xml:space="preserve"> at 9 p.m. and asked them to complete it by the end of Tuesday, June 9</w:t>
      </w:r>
      <w:r w:rsidRPr="00BB4BC9">
        <w:rPr>
          <w:rFonts w:ascii="Times" w:hAnsi="Times" w:cs="Times"/>
          <w:vertAlign w:val="superscript"/>
        </w:rPr>
        <w:t>th</w:t>
      </w:r>
      <w:r>
        <w:rPr>
          <w:rFonts w:ascii="Times" w:hAnsi="Times" w:cs="Times"/>
        </w:rPr>
        <w:t>.</w:t>
      </w:r>
    </w:p>
    <w:p w14:paraId="4C596B5A" w14:textId="77777777" w:rsidR="0078107A" w:rsidRDefault="0078107A" w:rsidP="0078107A">
      <w:pPr>
        <w:spacing w:line="480" w:lineRule="auto"/>
        <w:ind w:firstLine="720"/>
        <w:rPr>
          <w:rFonts w:ascii="Times" w:hAnsi="Times" w:cs="Times"/>
        </w:rPr>
      </w:pPr>
      <w:r>
        <w:rPr>
          <w:rFonts w:ascii="Times" w:hAnsi="Times" w:cs="Times"/>
        </w:rPr>
        <w:t xml:space="preserve">My role in the implementation was largely that of being available for technical assistance. As part of the pivot to asynchronous learning, </w:t>
      </w:r>
      <w:r w:rsidRPr="00492EF6">
        <w:rPr>
          <w:rFonts w:ascii="Times" w:hAnsi="Times" w:cs="Times"/>
        </w:rPr>
        <w:t xml:space="preserve">I created engagement activities that they could post in the text thread and offered </w:t>
      </w:r>
      <w:r>
        <w:rPr>
          <w:rFonts w:ascii="Times" w:hAnsi="Times" w:cs="Times"/>
        </w:rPr>
        <w:t>the option to</w:t>
      </w:r>
      <w:r w:rsidRPr="00492EF6">
        <w:rPr>
          <w:rFonts w:ascii="Times" w:hAnsi="Times" w:cs="Times"/>
        </w:rPr>
        <w:t xml:space="preserve"> send their responses to me directly if they preferred. </w:t>
      </w:r>
      <w:r>
        <w:rPr>
          <w:rFonts w:ascii="Times" w:hAnsi="Times" w:cs="Times"/>
        </w:rPr>
        <w:t xml:space="preserve">The check-ins that I had planned ended up being unnecessary because they were responding and helping each other within the text thread. All of those who responded to the Kirkpatrick level 1 &amp; 2 summative survey about the learning experience had positive comments and indicated that the learning experience improved their knowledge (Kurt, 2018). Some </w:t>
      </w:r>
      <w:proofErr w:type="gramStart"/>
      <w:r>
        <w:rPr>
          <w:rFonts w:ascii="Times" w:hAnsi="Times" w:cs="Times"/>
        </w:rPr>
        <w:t>individually</w:t>
      </w:r>
      <w:proofErr w:type="gramEnd"/>
      <w:r>
        <w:rPr>
          <w:rFonts w:ascii="Times" w:hAnsi="Times" w:cs="Times"/>
        </w:rPr>
        <w:t xml:space="preserve"> sent me messages about their positive experiences and how they appreciated the content. </w:t>
      </w:r>
    </w:p>
    <w:p w14:paraId="43F1F6AA" w14:textId="77777777" w:rsidR="0078107A" w:rsidRPr="00424D63" w:rsidRDefault="0078107A" w:rsidP="0078107A">
      <w:pPr>
        <w:spacing w:line="480" w:lineRule="auto"/>
        <w:ind w:firstLine="720"/>
        <w:rPr>
          <w:rFonts w:ascii="Times" w:hAnsi="Times" w:cs="Times"/>
        </w:rPr>
      </w:pPr>
      <w:r>
        <w:rPr>
          <w:rFonts w:ascii="Times" w:hAnsi="Times" w:cs="Times"/>
        </w:rPr>
        <w:t xml:space="preserve">I would have preferred to use an app like </w:t>
      </w:r>
      <w:proofErr w:type="spellStart"/>
      <w:r>
        <w:rPr>
          <w:rFonts w:ascii="Times" w:hAnsi="Times" w:cs="Times"/>
        </w:rPr>
        <w:t>TalentCards</w:t>
      </w:r>
      <w:proofErr w:type="spellEnd"/>
      <w:r>
        <w:rPr>
          <w:rFonts w:ascii="Times" w:hAnsi="Times" w:cs="Times"/>
        </w:rPr>
        <w:t xml:space="preserve"> to deliver this learning experience. Respecting the limitations of the assignment meant that </w:t>
      </w:r>
      <w:r w:rsidRPr="00424D63">
        <w:rPr>
          <w:rFonts w:ascii="Times" w:hAnsi="Times" w:cs="Times"/>
        </w:rPr>
        <w:t>I ha</w:t>
      </w:r>
      <w:r>
        <w:rPr>
          <w:rFonts w:ascii="Times" w:hAnsi="Times" w:cs="Times"/>
        </w:rPr>
        <w:t>d</w:t>
      </w:r>
      <w:r w:rsidRPr="00424D63">
        <w:rPr>
          <w:rFonts w:ascii="Times" w:hAnsi="Times" w:cs="Times"/>
        </w:rPr>
        <w:t xml:space="preserve"> no way of tracking </w:t>
      </w:r>
      <w:r>
        <w:rPr>
          <w:rFonts w:ascii="Times" w:hAnsi="Times" w:cs="Times"/>
        </w:rPr>
        <w:t>learning</w:t>
      </w:r>
      <w:r w:rsidRPr="00424D63">
        <w:rPr>
          <w:rFonts w:ascii="Times" w:hAnsi="Times" w:cs="Times"/>
        </w:rPr>
        <w:t xml:space="preserve"> progress aside from the text thread. In the future, I would implement this inside of an LMS or the </w:t>
      </w:r>
      <w:proofErr w:type="spellStart"/>
      <w:r w:rsidRPr="00424D63">
        <w:rPr>
          <w:rFonts w:ascii="Times" w:hAnsi="Times" w:cs="Times"/>
        </w:rPr>
        <w:t>TalentCards</w:t>
      </w:r>
      <w:proofErr w:type="spellEnd"/>
      <w:r w:rsidRPr="00424D63">
        <w:rPr>
          <w:rFonts w:ascii="Times" w:hAnsi="Times" w:cs="Times"/>
        </w:rPr>
        <w:t xml:space="preserve"> app so that I could </w:t>
      </w:r>
      <w:r>
        <w:rPr>
          <w:rFonts w:ascii="Times" w:hAnsi="Times" w:cs="Times"/>
        </w:rPr>
        <w:t>see</w:t>
      </w:r>
      <w:r w:rsidRPr="00424D63">
        <w:rPr>
          <w:rFonts w:ascii="Times" w:hAnsi="Times" w:cs="Times"/>
        </w:rPr>
        <w:t xml:space="preserve"> data from their participation </w:t>
      </w:r>
      <w:r>
        <w:rPr>
          <w:rFonts w:ascii="Times" w:hAnsi="Times" w:cs="Times"/>
        </w:rPr>
        <w:t>as well as</w:t>
      </w:r>
      <w:r w:rsidRPr="00424D63">
        <w:rPr>
          <w:rFonts w:ascii="Times" w:hAnsi="Times" w:cs="Times"/>
        </w:rPr>
        <w:t xml:space="preserve"> the </w:t>
      </w:r>
      <w:r>
        <w:rPr>
          <w:rFonts w:ascii="Times" w:hAnsi="Times" w:cs="Times"/>
        </w:rPr>
        <w:t xml:space="preserve">results from the </w:t>
      </w:r>
      <w:r w:rsidRPr="00424D63">
        <w:rPr>
          <w:rFonts w:ascii="Times" w:hAnsi="Times" w:cs="Times"/>
        </w:rPr>
        <w:t>formative evaluations I included.</w:t>
      </w:r>
      <w:r>
        <w:rPr>
          <w:rFonts w:ascii="Times" w:hAnsi="Times" w:cs="Times"/>
        </w:rPr>
        <w:t xml:space="preserve"> If I were to deliver this again,</w:t>
      </w:r>
      <w:r w:rsidRPr="00424D63">
        <w:rPr>
          <w:rFonts w:ascii="Times" w:hAnsi="Times" w:cs="Times"/>
        </w:rPr>
        <w:t xml:space="preserve"> I </w:t>
      </w:r>
      <w:r>
        <w:rPr>
          <w:rFonts w:ascii="Times" w:hAnsi="Times" w:cs="Times"/>
        </w:rPr>
        <w:t xml:space="preserve">would </w:t>
      </w:r>
      <w:r w:rsidRPr="00424D63">
        <w:rPr>
          <w:rFonts w:ascii="Times" w:hAnsi="Times" w:cs="Times"/>
        </w:rPr>
        <w:t>provide the modules more spaced out with</w:t>
      </w:r>
      <w:r>
        <w:rPr>
          <w:rFonts w:ascii="Times" w:hAnsi="Times" w:cs="Times"/>
        </w:rPr>
        <w:t xml:space="preserve"> options for other modalities for</w:t>
      </w:r>
      <w:r w:rsidRPr="00424D63">
        <w:rPr>
          <w:rFonts w:ascii="Times" w:hAnsi="Times" w:cs="Times"/>
        </w:rPr>
        <w:t xml:space="preserve"> discussion</w:t>
      </w:r>
      <w:r>
        <w:rPr>
          <w:rFonts w:ascii="Times" w:hAnsi="Times" w:cs="Times"/>
        </w:rPr>
        <w:t xml:space="preserve">/response participation; maybe </w:t>
      </w:r>
      <w:r w:rsidRPr="00424D63">
        <w:rPr>
          <w:rFonts w:ascii="Times" w:hAnsi="Times" w:cs="Times"/>
        </w:rPr>
        <w:t xml:space="preserve">an app like </w:t>
      </w:r>
      <w:r>
        <w:rPr>
          <w:rFonts w:ascii="Times" w:hAnsi="Times" w:cs="Times"/>
        </w:rPr>
        <w:t>Marco Polo or a video platform like Loom (Brown &amp; Green, 2024)</w:t>
      </w:r>
      <w:r w:rsidRPr="00424D63">
        <w:rPr>
          <w:rFonts w:ascii="Times" w:hAnsi="Times" w:cs="Times"/>
        </w:rPr>
        <w:t xml:space="preserve">. </w:t>
      </w:r>
    </w:p>
    <w:p w14:paraId="20F010A1" w14:textId="77777777" w:rsidR="0078107A" w:rsidRDefault="0078107A" w:rsidP="007336A7">
      <w:pPr>
        <w:spacing w:after="120"/>
        <w:rPr>
          <w:rFonts w:ascii="Times" w:hAnsi="Times" w:cs="Times"/>
          <w:b/>
        </w:rPr>
      </w:pPr>
    </w:p>
    <w:p w14:paraId="2E393505" w14:textId="77777777" w:rsidR="00403F59" w:rsidRDefault="00403F59" w:rsidP="007336A7">
      <w:pPr>
        <w:spacing w:after="120"/>
        <w:rPr>
          <w:rFonts w:ascii="Times" w:hAnsi="Times" w:cs="Times"/>
          <w:b/>
        </w:rPr>
      </w:pPr>
    </w:p>
    <w:p w14:paraId="056535E1" w14:textId="77777777" w:rsidR="00403F59" w:rsidRDefault="00403F59" w:rsidP="007336A7">
      <w:pPr>
        <w:spacing w:after="120"/>
        <w:rPr>
          <w:rFonts w:ascii="Times" w:hAnsi="Times" w:cs="Times"/>
          <w:b/>
        </w:rPr>
      </w:pPr>
    </w:p>
    <w:p w14:paraId="7680105E" w14:textId="42E687AF" w:rsidR="007336A7" w:rsidRDefault="007336A7" w:rsidP="007336A7">
      <w:pPr>
        <w:spacing w:after="120"/>
        <w:rPr>
          <w:rFonts w:ascii="Times" w:hAnsi="Times" w:cs="Times"/>
          <w:b/>
        </w:rPr>
      </w:pPr>
      <w:r w:rsidRPr="007336A7">
        <w:rPr>
          <w:rFonts w:ascii="Times" w:hAnsi="Times" w:cs="Times"/>
          <w:b/>
        </w:rPr>
        <w:lastRenderedPageBreak/>
        <w:t>References:</w:t>
      </w:r>
    </w:p>
    <w:p w14:paraId="600F38C5" w14:textId="77777777" w:rsidR="00403F59" w:rsidRPr="007336A7" w:rsidRDefault="00403F59" w:rsidP="007336A7">
      <w:pPr>
        <w:spacing w:after="120"/>
        <w:rPr>
          <w:rFonts w:ascii="Times" w:hAnsi="Times" w:cs="Times"/>
          <w:b/>
        </w:rPr>
      </w:pPr>
    </w:p>
    <w:p w14:paraId="70CB50C5" w14:textId="77777777" w:rsidR="0078107A" w:rsidRPr="00424D63" w:rsidRDefault="0078107A" w:rsidP="00CB26DF">
      <w:pPr>
        <w:spacing w:after="120" w:line="360" w:lineRule="auto"/>
        <w:ind w:left="720" w:hanging="720"/>
        <w:rPr>
          <w:rFonts w:ascii="Times" w:hAnsi="Times" w:cs="Times"/>
        </w:rPr>
      </w:pPr>
      <w:r>
        <w:rPr>
          <w:rFonts w:ascii="Times New Roman" w:eastAsia="Times New Roman" w:hAnsi="Times New Roman" w:cs="Times New Roman"/>
        </w:rPr>
        <w:t xml:space="preserve">Brown, A. H., &amp; Green, T. D. (2024). </w:t>
      </w:r>
      <w:r w:rsidRPr="00101BD8">
        <w:rPr>
          <w:rFonts w:ascii="Times New Roman" w:eastAsia="Times New Roman" w:hAnsi="Times New Roman" w:cs="Times New Roman"/>
          <w:i/>
          <w:iCs/>
        </w:rPr>
        <w:t>The essentials of instructional design, connecting fundamental principles with process and practice</w:t>
      </w:r>
      <w:r>
        <w:rPr>
          <w:rFonts w:ascii="Times New Roman" w:eastAsia="Times New Roman" w:hAnsi="Times New Roman" w:cs="Times New Roman"/>
          <w:i/>
          <w:iCs/>
        </w:rPr>
        <w:t xml:space="preserve"> </w:t>
      </w:r>
      <w:r>
        <w:rPr>
          <w:rFonts w:ascii="Times New Roman" w:eastAsia="Times New Roman" w:hAnsi="Times New Roman" w:cs="Times New Roman"/>
        </w:rPr>
        <w:t>(5</w:t>
      </w:r>
      <w:r w:rsidRPr="00550FD9">
        <w:rPr>
          <w:rFonts w:ascii="Times New Roman" w:eastAsia="Times New Roman" w:hAnsi="Times New Roman" w:cs="Times New Roman"/>
        </w:rPr>
        <w:t xml:space="preserve">th </w:t>
      </w:r>
      <w:r>
        <w:rPr>
          <w:rFonts w:ascii="Times New Roman" w:eastAsia="Times New Roman" w:hAnsi="Times New Roman" w:cs="Times New Roman"/>
        </w:rPr>
        <w:t>e</w:t>
      </w:r>
      <w:r w:rsidRPr="00550FD9">
        <w:rPr>
          <w:rFonts w:ascii="Times New Roman" w:eastAsia="Times New Roman" w:hAnsi="Times New Roman" w:cs="Times New Roman"/>
        </w:rPr>
        <w:t>d</w:t>
      </w:r>
      <w:r>
        <w:rPr>
          <w:rFonts w:ascii="Times New Roman" w:eastAsia="Times New Roman" w:hAnsi="Times New Roman" w:cs="Times New Roman"/>
        </w:rPr>
        <w:t>.). Routledge.</w:t>
      </w:r>
    </w:p>
    <w:p w14:paraId="26AE8D69" w14:textId="77777777" w:rsidR="0048096C" w:rsidRPr="0048096C" w:rsidRDefault="0048096C" w:rsidP="00CB26DF">
      <w:pPr>
        <w:spacing w:after="120" w:line="360" w:lineRule="auto"/>
        <w:ind w:left="720" w:hanging="720"/>
        <w:rPr>
          <w:rFonts w:ascii="Times" w:hAnsi="Times" w:cs="Times"/>
        </w:rPr>
      </w:pPr>
      <w:r w:rsidRPr="0048096C">
        <w:rPr>
          <w:rFonts w:ascii="Times" w:hAnsi="Times" w:cs="Times"/>
        </w:rPr>
        <w:t xml:space="preserve">Cherry, K. (2026, February 12). </w:t>
      </w:r>
      <w:r w:rsidRPr="0048096C">
        <w:rPr>
          <w:rFonts w:ascii="Times" w:hAnsi="Times" w:cs="Times"/>
          <w:i/>
          <w:iCs/>
        </w:rPr>
        <w:t>What happens when you embrace autonomy—and how to be more autonomous</w:t>
      </w:r>
      <w:r w:rsidRPr="0048096C">
        <w:rPr>
          <w:rFonts w:ascii="Times" w:hAnsi="Times" w:cs="Times"/>
        </w:rPr>
        <w:t xml:space="preserve">. </w:t>
      </w:r>
      <w:proofErr w:type="spellStart"/>
      <w:proofErr w:type="gramStart"/>
      <w:r w:rsidRPr="0048096C">
        <w:rPr>
          <w:rFonts w:ascii="Times" w:hAnsi="Times" w:cs="Times"/>
        </w:rPr>
        <w:t>Verywell</w:t>
      </w:r>
      <w:proofErr w:type="spellEnd"/>
      <w:proofErr w:type="gramEnd"/>
      <w:r w:rsidRPr="0048096C">
        <w:rPr>
          <w:rFonts w:ascii="Times" w:hAnsi="Times" w:cs="Times"/>
        </w:rPr>
        <w:t xml:space="preserve"> Mind. </w:t>
      </w:r>
      <w:hyperlink r:id="rId5" w:history="1">
        <w:r w:rsidRPr="0048096C">
          <w:rPr>
            <w:rStyle w:val="Hyperlink"/>
            <w:rFonts w:ascii="Times" w:hAnsi="Times" w:cs="Times"/>
          </w:rPr>
          <w:t>https://www.verywellmind.com/autonomy-in-psychology-how-to-make-your-own-choices-7496882</w:t>
        </w:r>
      </w:hyperlink>
    </w:p>
    <w:p w14:paraId="1F4251E3" w14:textId="77777777" w:rsidR="0048096C" w:rsidRPr="0048096C" w:rsidRDefault="0048096C" w:rsidP="00CB26DF">
      <w:pPr>
        <w:spacing w:after="120" w:line="360" w:lineRule="auto"/>
        <w:ind w:left="720" w:hanging="720"/>
        <w:rPr>
          <w:rFonts w:ascii="Times" w:hAnsi="Times" w:cs="Times"/>
        </w:rPr>
      </w:pPr>
      <w:r w:rsidRPr="0048096C">
        <w:rPr>
          <w:rFonts w:ascii="Times" w:hAnsi="Times" w:cs="Times"/>
        </w:rPr>
        <w:t xml:space="preserve">Davis, P. (2025, February 17). </w:t>
      </w:r>
      <w:r w:rsidRPr="0048096C">
        <w:rPr>
          <w:rFonts w:ascii="Times" w:hAnsi="Times" w:cs="Times"/>
          <w:i/>
          <w:iCs/>
        </w:rPr>
        <w:t>Why employees need autonomy</w:t>
      </w:r>
      <w:r w:rsidRPr="0048096C">
        <w:rPr>
          <w:rFonts w:ascii="Times" w:hAnsi="Times" w:cs="Times"/>
        </w:rPr>
        <w:t>. Knowledge at Wharton. https://knowledge.wharton.upenn.edu/article/why-employees-need-autonomy/</w:t>
      </w:r>
    </w:p>
    <w:p w14:paraId="5E90B917" w14:textId="77777777" w:rsidR="007336A7" w:rsidRPr="007336A7" w:rsidRDefault="007336A7" w:rsidP="00CB26DF">
      <w:pPr>
        <w:spacing w:after="120" w:line="360" w:lineRule="auto"/>
        <w:ind w:left="720" w:hanging="720"/>
        <w:rPr>
          <w:rFonts w:ascii="Times" w:hAnsi="Times" w:cs="Times"/>
        </w:rPr>
      </w:pPr>
      <w:proofErr w:type="spellStart"/>
      <w:r w:rsidRPr="007336A7">
        <w:rPr>
          <w:rFonts w:ascii="Times" w:hAnsi="Times" w:cs="Times"/>
        </w:rPr>
        <w:t>Eketone</w:t>
      </w:r>
      <w:proofErr w:type="spellEnd"/>
      <w:r w:rsidRPr="007336A7">
        <w:rPr>
          <w:rFonts w:ascii="Times" w:hAnsi="Times" w:cs="Times"/>
        </w:rPr>
        <w:t xml:space="preserve">, S. (2025, August 26). </w:t>
      </w:r>
      <w:r w:rsidRPr="007336A7">
        <w:rPr>
          <w:rFonts w:ascii="Times" w:hAnsi="Times" w:cs="Times"/>
          <w:i/>
          <w:iCs/>
        </w:rPr>
        <w:t>Raising great adults: Why teens need autonomy</w:t>
      </w:r>
      <w:r w:rsidRPr="007336A7">
        <w:rPr>
          <w:rFonts w:ascii="Times" w:hAnsi="Times" w:cs="Times"/>
        </w:rPr>
        <w:t>. Parenting Place. https://parentingplace.nz/resources/raising-great-adults-why-teens-need-autonomy</w:t>
      </w:r>
    </w:p>
    <w:p w14:paraId="2A00E29B" w14:textId="77777777" w:rsidR="007336A7" w:rsidRPr="007336A7" w:rsidRDefault="007336A7" w:rsidP="00CB26DF">
      <w:pPr>
        <w:spacing w:after="120" w:line="360" w:lineRule="auto"/>
        <w:ind w:left="720" w:hanging="720"/>
        <w:rPr>
          <w:rFonts w:ascii="Times" w:hAnsi="Times" w:cs="Times"/>
        </w:rPr>
      </w:pPr>
      <w:r w:rsidRPr="007336A7">
        <w:rPr>
          <w:rFonts w:ascii="Times" w:hAnsi="Times" w:cs="Times"/>
        </w:rPr>
        <w:t xml:space="preserve">Focus on the Family. (2021, October 25). </w:t>
      </w:r>
      <w:r w:rsidRPr="007336A7">
        <w:rPr>
          <w:rFonts w:ascii="Times" w:hAnsi="Times" w:cs="Times"/>
          <w:i/>
          <w:iCs/>
        </w:rPr>
        <w:t>Connecting with your teen daughter - Kari Kampakis</w:t>
      </w:r>
      <w:r w:rsidRPr="007336A7">
        <w:rPr>
          <w:rFonts w:ascii="Times" w:hAnsi="Times" w:cs="Times"/>
        </w:rPr>
        <w:t xml:space="preserve"> [Video]. YouTube. https://www.youtube.com/watch?v=eQv3Dg8thdU</w:t>
      </w:r>
    </w:p>
    <w:p w14:paraId="7F0222E8" w14:textId="77777777" w:rsidR="007336A7" w:rsidRPr="007336A7" w:rsidRDefault="007336A7" w:rsidP="00CB26DF">
      <w:pPr>
        <w:spacing w:after="120" w:line="360" w:lineRule="auto"/>
        <w:ind w:left="720" w:hanging="720"/>
        <w:rPr>
          <w:rFonts w:ascii="Times" w:hAnsi="Times" w:cs="Times"/>
        </w:rPr>
      </w:pPr>
      <w:r w:rsidRPr="007336A7">
        <w:rPr>
          <w:rFonts w:ascii="Times" w:hAnsi="Times" w:cs="Times"/>
        </w:rPr>
        <w:t xml:space="preserve">Focus on the Family. (2024, April 1). </w:t>
      </w:r>
      <w:r w:rsidRPr="007336A7">
        <w:rPr>
          <w:rFonts w:ascii="Times" w:hAnsi="Times" w:cs="Times"/>
          <w:i/>
          <w:iCs/>
        </w:rPr>
        <w:t xml:space="preserve">Loving your teen daughter well - Kari Kampakis </w:t>
      </w:r>
      <w:r w:rsidRPr="007336A7">
        <w:rPr>
          <w:rFonts w:ascii="Times" w:hAnsi="Times" w:cs="Times"/>
        </w:rPr>
        <w:t xml:space="preserve">[Video]. YouTube. </w:t>
      </w:r>
      <w:hyperlink r:id="rId6" w:history="1">
        <w:r w:rsidRPr="007336A7">
          <w:rPr>
            <w:rStyle w:val="Hyperlink"/>
            <w:rFonts w:ascii="Times" w:hAnsi="Times" w:cs="Times"/>
          </w:rPr>
          <w:t>https://www.youtube.com/watch?v=Ndde2S6c664</w:t>
        </w:r>
      </w:hyperlink>
    </w:p>
    <w:p w14:paraId="3182DC54" w14:textId="77777777" w:rsidR="0078107A" w:rsidRPr="00424D63" w:rsidRDefault="0078107A" w:rsidP="00CB26DF">
      <w:pPr>
        <w:spacing w:after="120" w:line="360" w:lineRule="auto"/>
        <w:ind w:left="720" w:hanging="720"/>
        <w:rPr>
          <w:rFonts w:ascii="Times" w:hAnsi="Times" w:cs="Times"/>
        </w:rPr>
      </w:pPr>
      <w:r w:rsidRPr="00424D63">
        <w:rPr>
          <w:rFonts w:ascii="Times" w:hAnsi="Times" w:cs="Times"/>
        </w:rPr>
        <w:t xml:space="preserve">Kurt, S. (2018, September 6). </w:t>
      </w:r>
      <w:r w:rsidRPr="00424D63">
        <w:rPr>
          <w:rFonts w:ascii="Times" w:hAnsi="Times" w:cs="Times"/>
          <w:i/>
          <w:iCs/>
        </w:rPr>
        <w:t>Kirk</w:t>
      </w:r>
      <w:r>
        <w:rPr>
          <w:rFonts w:ascii="Times" w:hAnsi="Times" w:cs="Times"/>
          <w:i/>
          <w:iCs/>
        </w:rPr>
        <w:t>p</w:t>
      </w:r>
      <w:r w:rsidRPr="00424D63">
        <w:rPr>
          <w:rFonts w:ascii="Times" w:hAnsi="Times" w:cs="Times"/>
          <w:i/>
          <w:iCs/>
        </w:rPr>
        <w:t xml:space="preserve">atrick </w:t>
      </w:r>
      <w:r>
        <w:rPr>
          <w:rFonts w:ascii="Times" w:hAnsi="Times" w:cs="Times"/>
          <w:i/>
          <w:iCs/>
        </w:rPr>
        <w:t>m</w:t>
      </w:r>
      <w:r w:rsidRPr="00424D63">
        <w:rPr>
          <w:rFonts w:ascii="Times" w:hAnsi="Times" w:cs="Times"/>
          <w:i/>
          <w:iCs/>
        </w:rPr>
        <w:t>odel: four levels of learning evaluation.</w:t>
      </w:r>
      <w:r w:rsidRPr="00424D63">
        <w:rPr>
          <w:rFonts w:ascii="Times" w:hAnsi="Times" w:cs="Times"/>
        </w:rPr>
        <w:t xml:space="preserve"> Educational Technology. https://educationaltechnology.net/kirkpatrick-model-four-levels-learning-evaluation/</w:t>
      </w:r>
    </w:p>
    <w:p w14:paraId="39B4CB1C" w14:textId="77777777" w:rsidR="007336A7" w:rsidRPr="007336A7" w:rsidRDefault="007336A7" w:rsidP="00CB26DF">
      <w:pPr>
        <w:spacing w:after="120" w:line="360" w:lineRule="auto"/>
        <w:ind w:left="720" w:hanging="720"/>
        <w:rPr>
          <w:rFonts w:ascii="Times" w:hAnsi="Times" w:cs="Times"/>
        </w:rPr>
      </w:pPr>
      <w:r w:rsidRPr="007336A7">
        <w:rPr>
          <w:rFonts w:ascii="Times" w:hAnsi="Times" w:cs="Times"/>
        </w:rPr>
        <w:t xml:space="preserve">Ryan, R. M., &amp; </w:t>
      </w:r>
      <w:r w:rsidRPr="007336A7">
        <w:rPr>
          <w:rFonts w:ascii="Times" w:hAnsi="Times" w:cs="Times"/>
          <w:bCs/>
        </w:rPr>
        <w:t>Deci</w:t>
      </w:r>
      <w:r w:rsidRPr="007336A7">
        <w:rPr>
          <w:rFonts w:ascii="Times" w:hAnsi="Times" w:cs="Times"/>
        </w:rPr>
        <w:t>, E. L. (2017). </w:t>
      </w:r>
      <w:r w:rsidRPr="007336A7">
        <w:rPr>
          <w:rFonts w:ascii="Times" w:hAnsi="Times" w:cs="Times"/>
          <w:i/>
          <w:iCs/>
        </w:rPr>
        <w:t xml:space="preserve">Self-determination </w:t>
      </w:r>
      <w:proofErr w:type="gramStart"/>
      <w:r w:rsidRPr="007336A7">
        <w:rPr>
          <w:rFonts w:ascii="Times" w:hAnsi="Times" w:cs="Times"/>
          <w:i/>
          <w:iCs/>
        </w:rPr>
        <w:t>theory :</w:t>
      </w:r>
      <w:proofErr w:type="gramEnd"/>
      <w:r w:rsidRPr="007336A7">
        <w:rPr>
          <w:rFonts w:ascii="Times" w:hAnsi="Times" w:cs="Times"/>
          <w:i/>
          <w:iCs/>
        </w:rPr>
        <w:t xml:space="preserve"> Basic psychological needs in motivation, development, and wellness</w:t>
      </w:r>
      <w:r w:rsidRPr="007336A7">
        <w:rPr>
          <w:rFonts w:ascii="Times" w:hAnsi="Times" w:cs="Times"/>
        </w:rPr>
        <w:t>. Guilford Publications.</w:t>
      </w:r>
    </w:p>
    <w:p w14:paraId="1B01DF50" w14:textId="0174990D" w:rsidR="007336A7" w:rsidRDefault="007336A7" w:rsidP="00CB26DF">
      <w:pPr>
        <w:spacing w:after="120" w:line="360" w:lineRule="auto"/>
        <w:ind w:left="720" w:hanging="720"/>
        <w:rPr>
          <w:rFonts w:ascii="Times" w:hAnsi="Times" w:cs="Times"/>
          <w:bCs/>
        </w:rPr>
      </w:pPr>
      <w:r w:rsidRPr="007336A7">
        <w:rPr>
          <w:rFonts w:ascii="Times" w:hAnsi="Times" w:cs="Times"/>
          <w:bCs/>
        </w:rPr>
        <w:t xml:space="preserve">Shonk, K. (2026, June 3). </w:t>
      </w:r>
      <w:r w:rsidRPr="007336A7">
        <w:rPr>
          <w:rFonts w:ascii="Times" w:hAnsi="Times" w:cs="Times"/>
          <w:bCs/>
          <w:i/>
          <w:iCs/>
        </w:rPr>
        <w:t xml:space="preserve">5 Conflict resolution Strategies that </w:t>
      </w:r>
      <w:proofErr w:type="gramStart"/>
      <w:r w:rsidRPr="007336A7">
        <w:rPr>
          <w:rFonts w:ascii="Times" w:hAnsi="Times" w:cs="Times"/>
          <w:bCs/>
          <w:i/>
          <w:iCs/>
        </w:rPr>
        <w:t>actually work</w:t>
      </w:r>
      <w:proofErr w:type="gramEnd"/>
      <w:r w:rsidRPr="007336A7">
        <w:rPr>
          <w:rFonts w:ascii="Times" w:hAnsi="Times" w:cs="Times"/>
          <w:bCs/>
        </w:rPr>
        <w:t xml:space="preserve">. PON - Program on Negotiation at Harvard Law School. </w:t>
      </w:r>
      <w:hyperlink r:id="rId7" w:history="1">
        <w:r w:rsidRPr="00E96518">
          <w:rPr>
            <w:rStyle w:val="Hyperlink"/>
            <w:rFonts w:ascii="Times" w:hAnsi="Times" w:cs="Times"/>
            <w:bCs/>
          </w:rPr>
          <w:t>https://www.pon.harvard.edu/daily/conflict-resolution/conflict-resolution-strategies/</w:t>
        </w:r>
      </w:hyperlink>
    </w:p>
    <w:p w14:paraId="67E0D3ED" w14:textId="5FDF77C0" w:rsidR="007336A7" w:rsidRPr="007336A7" w:rsidRDefault="007336A7" w:rsidP="00CB26DF">
      <w:pPr>
        <w:spacing w:after="120" w:line="360" w:lineRule="auto"/>
        <w:ind w:left="720" w:hanging="720"/>
        <w:rPr>
          <w:rFonts w:ascii="Times" w:hAnsi="Times" w:cs="Times"/>
          <w:bCs/>
        </w:rPr>
      </w:pPr>
      <w:r w:rsidRPr="007336A7">
        <w:rPr>
          <w:rFonts w:ascii="Times" w:hAnsi="Times" w:cs="Times"/>
          <w:bCs/>
        </w:rPr>
        <w:t xml:space="preserve">Shonk, K. (2026, May 27). </w:t>
      </w:r>
      <w:r w:rsidRPr="007336A7">
        <w:rPr>
          <w:rFonts w:ascii="Times" w:hAnsi="Times" w:cs="Times"/>
          <w:bCs/>
          <w:i/>
          <w:iCs/>
        </w:rPr>
        <w:t>Conflict styles and bargaining styles</w:t>
      </w:r>
      <w:r w:rsidRPr="007336A7">
        <w:rPr>
          <w:rFonts w:ascii="Times" w:hAnsi="Times" w:cs="Times"/>
          <w:bCs/>
        </w:rPr>
        <w:t>. PON - Program on Negotiation at Harvard Law School. https://www.pon.harvard.edu/daily/conflict-resolution/conflict-styles-and-bargaining-styles/</w:t>
      </w:r>
    </w:p>
    <w:p w14:paraId="372F145F" w14:textId="77777777" w:rsidR="007336A7" w:rsidRPr="007336A7" w:rsidRDefault="007336A7" w:rsidP="00CB26DF">
      <w:pPr>
        <w:spacing w:after="120" w:line="360" w:lineRule="auto"/>
        <w:rPr>
          <w:rFonts w:ascii="Times" w:hAnsi="Times" w:cs="Times"/>
        </w:rPr>
      </w:pPr>
      <w:r w:rsidRPr="007336A7">
        <w:rPr>
          <w:rFonts w:ascii="Times" w:hAnsi="Times" w:cs="Times"/>
        </w:rPr>
        <w:t>Sylwester, R. A. (2007). </w:t>
      </w:r>
      <w:r w:rsidRPr="007336A7">
        <w:rPr>
          <w:rFonts w:ascii="Times" w:hAnsi="Times" w:cs="Times"/>
          <w:i/>
          <w:iCs/>
        </w:rPr>
        <w:t xml:space="preserve">The adolescent </w:t>
      </w:r>
      <w:proofErr w:type="gramStart"/>
      <w:r w:rsidRPr="007336A7">
        <w:rPr>
          <w:rFonts w:ascii="Times" w:hAnsi="Times" w:cs="Times"/>
          <w:i/>
          <w:iCs/>
        </w:rPr>
        <w:t>brain :</w:t>
      </w:r>
      <w:proofErr w:type="gramEnd"/>
      <w:r w:rsidRPr="007336A7">
        <w:rPr>
          <w:rFonts w:ascii="Times" w:hAnsi="Times" w:cs="Times"/>
          <w:i/>
          <w:iCs/>
        </w:rPr>
        <w:t xml:space="preserve"> Reaching for autonomy</w:t>
      </w:r>
      <w:r w:rsidRPr="007336A7">
        <w:rPr>
          <w:rFonts w:ascii="Times" w:hAnsi="Times" w:cs="Times"/>
        </w:rPr>
        <w:t>. Corwin Press.</w:t>
      </w:r>
    </w:p>
    <w:p w14:paraId="575ED674" w14:textId="07E8F7C4" w:rsidR="007336A7" w:rsidRPr="008C155C" w:rsidRDefault="007336A7" w:rsidP="00CB26DF">
      <w:pPr>
        <w:spacing w:after="120" w:line="360" w:lineRule="auto"/>
        <w:ind w:left="720" w:hanging="720"/>
        <w:rPr>
          <w:rFonts w:ascii="Times" w:hAnsi="Times" w:cs="Times"/>
          <w:bCs/>
        </w:rPr>
      </w:pPr>
      <w:r w:rsidRPr="007336A7">
        <w:rPr>
          <w:rFonts w:ascii="Times" w:hAnsi="Times" w:cs="Times"/>
          <w:bCs/>
        </w:rPr>
        <w:lastRenderedPageBreak/>
        <w:t xml:space="preserve">TEDx Talks. (2016, May 5). </w:t>
      </w:r>
      <w:r w:rsidRPr="007336A7">
        <w:rPr>
          <w:rFonts w:ascii="Times" w:hAnsi="Times" w:cs="Times"/>
          <w:bCs/>
          <w:i/>
          <w:iCs/>
        </w:rPr>
        <w:t xml:space="preserve">What adolescents (or teenagers) need to thrive | Charisse Nixon | </w:t>
      </w:r>
      <w:proofErr w:type="spellStart"/>
      <w:r w:rsidRPr="007336A7">
        <w:rPr>
          <w:rFonts w:ascii="Times" w:hAnsi="Times" w:cs="Times"/>
          <w:bCs/>
          <w:i/>
          <w:iCs/>
        </w:rPr>
        <w:t>TEDxPSUErie</w:t>
      </w:r>
      <w:proofErr w:type="spellEnd"/>
      <w:r w:rsidRPr="007336A7">
        <w:rPr>
          <w:rFonts w:ascii="Times" w:hAnsi="Times" w:cs="Times"/>
          <w:bCs/>
        </w:rPr>
        <w:t xml:space="preserve"> [Video]. YouTube. https://www.youtube.com/watch?v=S05PBOIdSeE</w:t>
      </w:r>
    </w:p>
    <w:sectPr w:rsidR="007336A7" w:rsidRPr="008C155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Times">
    <w:panose1 w:val="02020603050405020304"/>
    <w:charset w:val="00"/>
    <w:family w:val="roman"/>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C52883"/>
    <w:multiLevelType w:val="multilevel"/>
    <w:tmpl w:val="B274A2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5E301C9D"/>
    <w:multiLevelType w:val="hybridMultilevel"/>
    <w:tmpl w:val="0D9EC40C"/>
    <w:lvl w:ilvl="0" w:tplc="9EBABEE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36033497">
    <w:abstractNumId w:val="0"/>
  </w:num>
  <w:num w:numId="2" w16cid:durableId="9809672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36A7"/>
    <w:rsid w:val="000F3DA2"/>
    <w:rsid w:val="00403F59"/>
    <w:rsid w:val="0048096C"/>
    <w:rsid w:val="007336A7"/>
    <w:rsid w:val="0078107A"/>
    <w:rsid w:val="008C155C"/>
    <w:rsid w:val="009B4327"/>
    <w:rsid w:val="00A20FBD"/>
    <w:rsid w:val="00B94D6E"/>
    <w:rsid w:val="00BE60E7"/>
    <w:rsid w:val="00CB26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DE08D9"/>
  <w15:chartTrackingRefBased/>
  <w15:docId w15:val="{E92DA8BB-A67E-4BC3-BB87-A1BF99C28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36A7"/>
  </w:style>
  <w:style w:type="paragraph" w:styleId="Heading1">
    <w:name w:val="heading 1"/>
    <w:basedOn w:val="Normal"/>
    <w:next w:val="Normal"/>
    <w:link w:val="Heading1Char"/>
    <w:uiPriority w:val="9"/>
    <w:qFormat/>
    <w:rsid w:val="007336A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336A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336A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336A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336A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336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336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336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336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36A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336A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336A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336A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336A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336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336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336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336A7"/>
    <w:rPr>
      <w:rFonts w:eastAsiaTheme="majorEastAsia" w:cstheme="majorBidi"/>
      <w:color w:val="272727" w:themeColor="text1" w:themeTint="D8"/>
    </w:rPr>
  </w:style>
  <w:style w:type="paragraph" w:styleId="Title">
    <w:name w:val="Title"/>
    <w:basedOn w:val="Normal"/>
    <w:next w:val="Normal"/>
    <w:link w:val="TitleChar"/>
    <w:uiPriority w:val="10"/>
    <w:qFormat/>
    <w:rsid w:val="007336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336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336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336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336A7"/>
    <w:pPr>
      <w:spacing w:before="160"/>
      <w:jc w:val="center"/>
    </w:pPr>
    <w:rPr>
      <w:i/>
      <w:iCs/>
      <w:color w:val="404040" w:themeColor="text1" w:themeTint="BF"/>
    </w:rPr>
  </w:style>
  <w:style w:type="character" w:customStyle="1" w:styleId="QuoteChar">
    <w:name w:val="Quote Char"/>
    <w:basedOn w:val="DefaultParagraphFont"/>
    <w:link w:val="Quote"/>
    <w:uiPriority w:val="29"/>
    <w:rsid w:val="007336A7"/>
    <w:rPr>
      <w:i/>
      <w:iCs/>
      <w:color w:val="404040" w:themeColor="text1" w:themeTint="BF"/>
    </w:rPr>
  </w:style>
  <w:style w:type="paragraph" w:styleId="ListParagraph">
    <w:name w:val="List Paragraph"/>
    <w:basedOn w:val="Normal"/>
    <w:uiPriority w:val="34"/>
    <w:qFormat/>
    <w:rsid w:val="007336A7"/>
    <w:pPr>
      <w:ind w:left="720"/>
      <w:contextualSpacing/>
    </w:pPr>
  </w:style>
  <w:style w:type="character" w:styleId="IntenseEmphasis">
    <w:name w:val="Intense Emphasis"/>
    <w:basedOn w:val="DefaultParagraphFont"/>
    <w:uiPriority w:val="21"/>
    <w:qFormat/>
    <w:rsid w:val="007336A7"/>
    <w:rPr>
      <w:i/>
      <w:iCs/>
      <w:color w:val="0F4761" w:themeColor="accent1" w:themeShade="BF"/>
    </w:rPr>
  </w:style>
  <w:style w:type="paragraph" w:styleId="IntenseQuote">
    <w:name w:val="Intense Quote"/>
    <w:basedOn w:val="Normal"/>
    <w:next w:val="Normal"/>
    <w:link w:val="IntenseQuoteChar"/>
    <w:uiPriority w:val="30"/>
    <w:qFormat/>
    <w:rsid w:val="007336A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336A7"/>
    <w:rPr>
      <w:i/>
      <w:iCs/>
      <w:color w:val="0F4761" w:themeColor="accent1" w:themeShade="BF"/>
    </w:rPr>
  </w:style>
  <w:style w:type="character" w:styleId="IntenseReference">
    <w:name w:val="Intense Reference"/>
    <w:basedOn w:val="DefaultParagraphFont"/>
    <w:uiPriority w:val="32"/>
    <w:qFormat/>
    <w:rsid w:val="007336A7"/>
    <w:rPr>
      <w:b/>
      <w:bCs/>
      <w:smallCaps/>
      <w:color w:val="0F4761" w:themeColor="accent1" w:themeShade="BF"/>
      <w:spacing w:val="5"/>
    </w:rPr>
  </w:style>
  <w:style w:type="character" w:styleId="Hyperlink">
    <w:name w:val="Hyperlink"/>
    <w:basedOn w:val="DefaultParagraphFont"/>
    <w:uiPriority w:val="99"/>
    <w:unhideWhenUsed/>
    <w:rsid w:val="007336A7"/>
    <w:rPr>
      <w:color w:val="467886" w:themeColor="hyperlink"/>
      <w:u w:val="single"/>
    </w:rPr>
  </w:style>
  <w:style w:type="character" w:styleId="UnresolvedMention">
    <w:name w:val="Unresolved Mention"/>
    <w:basedOn w:val="DefaultParagraphFont"/>
    <w:uiPriority w:val="99"/>
    <w:semiHidden/>
    <w:unhideWhenUsed/>
    <w:rsid w:val="007336A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pon.harvard.edu/daily/conflict-resolution/conflict-resolution-strategi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Ndde2S6c664" TargetMode="External"/><Relationship Id="rId5" Type="http://schemas.openxmlformats.org/officeDocument/2006/relationships/hyperlink" Target="https://www.verywellmind.com/autonomy-in-psychology-how-to-make-your-own-choices-7496882"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14</TotalTime>
  <Pages>4</Pages>
  <Words>871</Words>
  <Characters>4970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Molly Skarphol</dc:creator>
  <cp:keywords/>
  <dc:description/>
  <cp:lastModifiedBy>Molly Skarphol</cp:lastModifiedBy>
  <cp:revision>4</cp:revision>
  <dcterms:created xsi:type="dcterms:W3CDTF">2026-06-17T03:51:00Z</dcterms:created>
  <dcterms:modified xsi:type="dcterms:W3CDTF">2026-06-17T04:05:00Z</dcterms:modified>
</cp:coreProperties>
</file>